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046E" w14:textId="4EC0FAFF" w:rsidR="00884AAA" w:rsidRDefault="002B12FE">
      <w:pPr>
        <w:rPr>
          <w:b/>
          <w:sz w:val="28"/>
          <w:szCs w:val="28"/>
        </w:rPr>
      </w:pPr>
      <w:r w:rsidRPr="002B12FE">
        <w:rPr>
          <w:b/>
          <w:noProof/>
          <w:sz w:val="28"/>
          <w:szCs w:val="28"/>
        </w:rPr>
        <w:drawing>
          <wp:inline distT="0" distB="0" distL="0" distR="0" wp14:anchorId="5DCD3CFB" wp14:editId="18E2BB1E">
            <wp:extent cx="1531620" cy="571500"/>
            <wp:effectExtent l="0" t="0" r="0" b="0"/>
            <wp:docPr id="5" name="Picture 5" descr="C:\Users\Owner\Documents\IRESN\Graphics\IRE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IRESN\Graphics\IRESN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3033"/>
                    <a:stretch/>
                  </pic:blipFill>
                  <pic:spPr bwMode="auto">
                    <a:xfrm>
                      <a:off x="0" y="0"/>
                      <a:ext cx="1540568" cy="574839"/>
                    </a:xfrm>
                    <a:prstGeom prst="rect">
                      <a:avLst/>
                    </a:prstGeom>
                    <a:noFill/>
                    <a:ln>
                      <a:noFill/>
                    </a:ln>
                    <a:extLst>
                      <a:ext uri="{53640926-AAD7-44D8-BBD7-CCE9431645EC}">
                        <a14:shadowObscured xmlns:a14="http://schemas.microsoft.com/office/drawing/2010/main"/>
                      </a:ext>
                    </a:extLst>
                  </pic:spPr>
                </pic:pic>
              </a:graphicData>
            </a:graphic>
          </wp:inline>
        </w:drawing>
      </w:r>
    </w:p>
    <w:p w14:paraId="12B730BA" w14:textId="02B0FD0E" w:rsidR="00C90CB5" w:rsidRPr="00A928AA" w:rsidRDefault="002F4B30">
      <w:pPr>
        <w:rPr>
          <w:b/>
          <w:sz w:val="28"/>
          <w:szCs w:val="28"/>
        </w:rPr>
      </w:pPr>
      <w:r>
        <w:rPr>
          <w:b/>
          <w:sz w:val="28"/>
          <w:szCs w:val="28"/>
        </w:rPr>
        <w:t>City/Utility</w:t>
      </w:r>
      <w:r w:rsidR="0081413E">
        <w:rPr>
          <w:rStyle w:val="FootnoteReference"/>
          <w:b/>
          <w:sz w:val="28"/>
          <w:szCs w:val="28"/>
        </w:rPr>
        <w:footnoteReference w:id="1"/>
      </w:r>
      <w:r>
        <w:rPr>
          <w:b/>
          <w:sz w:val="28"/>
          <w:szCs w:val="28"/>
        </w:rPr>
        <w:t xml:space="preserve"> Collaboration</w:t>
      </w:r>
      <w:r w:rsidR="003A4755">
        <w:rPr>
          <w:b/>
          <w:sz w:val="28"/>
          <w:szCs w:val="28"/>
        </w:rPr>
        <w:t xml:space="preserve"> for Energy Resilience and Sustainability</w:t>
      </w:r>
    </w:p>
    <w:p w14:paraId="386890E6" w14:textId="19ABEEA6" w:rsidR="00C90CB5" w:rsidRDefault="000558F0">
      <w:r w:rsidRPr="00AC4BEE">
        <w:rPr>
          <w:b/>
          <w:u w:val="single"/>
        </w:rPr>
        <w:t>Since 2017.</w:t>
      </w:r>
      <w:r>
        <w:t xml:space="preserve">  </w:t>
      </w:r>
      <w:r w:rsidR="00C90CB5">
        <w:t>We’ve registered as a California 501.c.6, completed our merger with CADER, launched a city</w:t>
      </w:r>
      <w:r w:rsidR="0081413E">
        <w:t>/</w:t>
      </w:r>
      <w:r w:rsidR="00C90CB5">
        <w:t>utility collaboration initiative</w:t>
      </w:r>
      <w:r w:rsidR="002B12FE">
        <w:t>,</w:t>
      </w:r>
      <w:r w:rsidR="00C90CB5">
        <w:t xml:space="preserve"> and redesigned our website.  </w:t>
      </w:r>
    </w:p>
    <w:p w14:paraId="2141E5FB" w14:textId="5C504552" w:rsidR="00C90CB5" w:rsidRDefault="00696518">
      <w:r w:rsidRPr="00636D5A">
        <w:rPr>
          <w:b/>
          <w:noProof/>
          <w:u w:val="single"/>
        </w:rPr>
        <mc:AlternateContent>
          <mc:Choice Requires="wps">
            <w:drawing>
              <wp:anchor distT="45720" distB="45720" distL="114300" distR="114300" simplePos="0" relativeHeight="251656704" behindDoc="0" locked="0" layoutInCell="1" allowOverlap="1" wp14:anchorId="1C00FF21" wp14:editId="1BA0A8ED">
                <wp:simplePos x="0" y="0"/>
                <wp:positionH relativeFrom="column">
                  <wp:posOffset>3580765</wp:posOffset>
                </wp:positionH>
                <wp:positionV relativeFrom="paragraph">
                  <wp:posOffset>6350</wp:posOffset>
                </wp:positionV>
                <wp:extent cx="2306955" cy="8667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866775"/>
                        </a:xfrm>
                        <a:prstGeom prst="rect">
                          <a:avLst/>
                        </a:prstGeom>
                        <a:solidFill>
                          <a:srgbClr val="FFFFFF"/>
                        </a:solidFill>
                        <a:ln w="9525">
                          <a:solidFill>
                            <a:srgbClr val="000000"/>
                          </a:solidFill>
                          <a:miter lim="800000"/>
                          <a:headEnd/>
                          <a:tailEnd/>
                        </a:ln>
                      </wps:spPr>
                      <wps:txbx>
                        <w:txbxContent>
                          <w:p w14:paraId="7FBD4618" w14:textId="1D55FF3D" w:rsidR="00340EFB" w:rsidRPr="00724D1C" w:rsidRDefault="00340EFB">
                            <w:pPr>
                              <w:rPr>
                                <w:b/>
                              </w:rPr>
                            </w:pPr>
                            <w:r w:rsidRPr="00724D1C">
                              <w:rPr>
                                <w:b/>
                              </w:rPr>
                              <w:t xml:space="preserve">Seeking </w:t>
                            </w:r>
                            <w:r>
                              <w:rPr>
                                <w:b/>
                              </w:rPr>
                              <w:t xml:space="preserve">additional </w:t>
                            </w:r>
                            <w:r w:rsidRPr="00724D1C">
                              <w:rPr>
                                <w:b/>
                              </w:rPr>
                              <w:t xml:space="preserve">City/Utility Collaboration Project advisors </w:t>
                            </w:r>
                            <w:r>
                              <w:rPr>
                                <w:b/>
                              </w:rPr>
                              <w:t xml:space="preserve">who are based outside California.  Contact </w:t>
                            </w:r>
                            <w:hyperlink r:id="rId8" w:history="1">
                              <w:r w:rsidRPr="00F65C50">
                                <w:rPr>
                                  <w:rStyle w:val="Hyperlink"/>
                                  <w:b/>
                                </w:rPr>
                                <w:t>gbraun@iresn.org</w:t>
                              </w:r>
                            </w:hyperlink>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0FF21" id="_x0000_t202" coordsize="21600,21600" o:spt="202" path="m,l,21600r21600,l21600,xe">
                <v:stroke joinstyle="miter"/>
                <v:path gradientshapeok="t" o:connecttype="rect"/>
              </v:shapetype>
              <v:shape id="Text Box 2" o:spid="_x0000_s1026" type="#_x0000_t202" style="position:absolute;margin-left:281.95pt;margin-top:.5pt;width:181.65pt;height:68.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">
                <v:textbox>
                  <w:txbxContent>
                    <w:p w14:paraId="7FBD4618" w14:textId="1D55FF3D" w:rsidR="00340EFB" w:rsidRPr="00724D1C" w:rsidRDefault="00340EFB">
                      <w:pPr>
                        <w:rPr>
                          <w:b/>
                        </w:rPr>
                      </w:pPr>
                      <w:r w:rsidRPr="00724D1C">
                        <w:rPr>
                          <w:b/>
                        </w:rPr>
                        <w:t xml:space="preserve">Seeking </w:t>
                      </w:r>
                      <w:r>
                        <w:rPr>
                          <w:b/>
                        </w:rPr>
                        <w:t xml:space="preserve">additional </w:t>
                      </w:r>
                      <w:r w:rsidRPr="00724D1C">
                        <w:rPr>
                          <w:b/>
                        </w:rPr>
                        <w:t xml:space="preserve">City/Utility Collaboration Project advisors </w:t>
                      </w:r>
                      <w:r>
                        <w:rPr>
                          <w:b/>
                        </w:rPr>
                        <w:t xml:space="preserve">who are based outside California.  Contact </w:t>
                      </w:r>
                      <w:hyperlink r:id="rId9" w:history="1">
                        <w:r w:rsidRPr="00F65C50">
                          <w:rPr>
                            <w:rStyle w:val="Hyperlink"/>
                            <w:b/>
                          </w:rPr>
                          <w:t>gbraun@iresn.org</w:t>
                        </w:r>
                      </w:hyperlink>
                      <w:r>
                        <w:rPr>
                          <w:b/>
                        </w:rPr>
                        <w:t xml:space="preserve"> .</w:t>
                      </w:r>
                    </w:p>
                  </w:txbxContent>
                </v:textbox>
                <w10:wrap type="square"/>
              </v:shape>
            </w:pict>
          </mc:Fallback>
        </mc:AlternateContent>
      </w:r>
      <w:r w:rsidR="00C90CB5" w:rsidRPr="00636D5A">
        <w:rPr>
          <w:b/>
          <w:u w:val="single"/>
        </w:rPr>
        <w:t>City/Utility Collaboration.</w:t>
      </w:r>
      <w:r w:rsidR="00C90CB5">
        <w:t xml:space="preserve">  Work on </w:t>
      </w:r>
      <w:r w:rsidR="002F4B30">
        <w:t>IRESN’s</w:t>
      </w:r>
      <w:r w:rsidR="00C90CB5">
        <w:t xml:space="preserve"> </w:t>
      </w:r>
      <w:hyperlink r:id="rId10" w:history="1">
        <w:r w:rsidR="000558F0" w:rsidRPr="00EB511A">
          <w:rPr>
            <w:rStyle w:val="Hyperlink"/>
          </w:rPr>
          <w:t>C</w:t>
        </w:r>
        <w:r w:rsidR="00C90CB5" w:rsidRPr="00EB511A">
          <w:rPr>
            <w:rStyle w:val="Hyperlink"/>
          </w:rPr>
          <w:t>ity/</w:t>
        </w:r>
        <w:r w:rsidR="000558F0" w:rsidRPr="00EB511A">
          <w:rPr>
            <w:rStyle w:val="Hyperlink"/>
          </w:rPr>
          <w:t>U</w:t>
        </w:r>
        <w:r w:rsidR="00C90CB5" w:rsidRPr="00EB511A">
          <w:rPr>
            <w:rStyle w:val="Hyperlink"/>
          </w:rPr>
          <w:t xml:space="preserve">tility </w:t>
        </w:r>
        <w:r w:rsidR="00831670">
          <w:rPr>
            <w:rStyle w:val="Hyperlink"/>
          </w:rPr>
          <w:t xml:space="preserve">Collaboration </w:t>
        </w:r>
        <w:r w:rsidR="007C5B99" w:rsidRPr="00EB511A">
          <w:rPr>
            <w:rStyle w:val="Hyperlink"/>
          </w:rPr>
          <w:t>P</w:t>
        </w:r>
        <w:r w:rsidR="00C90CB5" w:rsidRPr="00EB511A">
          <w:rPr>
            <w:rStyle w:val="Hyperlink"/>
          </w:rPr>
          <w:t>roject</w:t>
        </w:r>
      </w:hyperlink>
      <w:r w:rsidR="00C90CB5">
        <w:t xml:space="preserve"> is informed by the contributions of a</w:t>
      </w:r>
      <w:r w:rsidR="000558F0">
        <w:t xml:space="preserve"> distinguished volunteer</w:t>
      </w:r>
      <w:r w:rsidR="00C90CB5">
        <w:t xml:space="preserve"> </w:t>
      </w:r>
      <w:hyperlink r:id="rId11" w:history="1">
        <w:r w:rsidR="00C90CB5" w:rsidRPr="00EA4C88">
          <w:rPr>
            <w:rStyle w:val="Hyperlink"/>
          </w:rPr>
          <w:t>advisory committee</w:t>
        </w:r>
      </w:hyperlink>
      <w:r w:rsidR="00C90CB5">
        <w:t xml:space="preserve"> that </w:t>
      </w:r>
      <w:r w:rsidR="00831670">
        <w:t>meets</w:t>
      </w:r>
      <w:r w:rsidR="00C90CB5">
        <w:t xml:space="preserve"> monthly with staff.  </w:t>
      </w:r>
      <w:r w:rsidR="000558F0">
        <w:t>Some highlights:</w:t>
      </w:r>
    </w:p>
    <w:p w14:paraId="65925D29" w14:textId="3CE7CF0F" w:rsidR="00715A27" w:rsidRDefault="00034277">
      <w:r w:rsidRPr="00636D5A">
        <w:rPr>
          <w:b/>
          <w:u w:val="single"/>
        </w:rPr>
        <w:t xml:space="preserve">Policy </w:t>
      </w:r>
      <w:r w:rsidR="002F1789">
        <w:rPr>
          <w:b/>
          <w:u w:val="single"/>
        </w:rPr>
        <w:t>Support</w:t>
      </w:r>
      <w:r w:rsidR="00636D5A" w:rsidRPr="00636D5A">
        <w:rPr>
          <w:b/>
          <w:u w:val="single"/>
        </w:rPr>
        <w:t>.</w:t>
      </w:r>
      <w:r>
        <w:t xml:space="preserve">  </w:t>
      </w:r>
      <w:r w:rsidR="000558F0">
        <w:t>As the energy sector in the US decentralizes, decarbonizes, democratizes, demonopolizes and digitizes</w:t>
      </w:r>
      <w:r w:rsidR="00715A27">
        <w:t>,</w:t>
      </w:r>
      <w:r w:rsidR="000558F0">
        <w:t xml:space="preserve"> </w:t>
      </w:r>
      <w:r w:rsidR="000558F0" w:rsidRPr="00EA4C88">
        <w:t>city</w:t>
      </w:r>
      <w:r w:rsidR="00292F73">
        <w:t>/</w:t>
      </w:r>
      <w:r w:rsidR="000558F0" w:rsidRPr="00EA4C88">
        <w:t>utility collaboration</w:t>
      </w:r>
      <w:r w:rsidR="000558F0">
        <w:t xml:space="preserve"> will pay huge dividends.  </w:t>
      </w:r>
      <w:r w:rsidR="002F1789">
        <w:t xml:space="preserve">But there is </w:t>
      </w:r>
      <w:r w:rsidR="002F4B30">
        <w:t>not yet strong, explicit</w:t>
      </w:r>
      <w:r w:rsidR="002F1789">
        <w:t xml:space="preserve"> policy support for it in most states.</w:t>
      </w:r>
      <w:r w:rsidR="000558F0">
        <w:t xml:space="preserve">  </w:t>
      </w:r>
      <w:r w:rsidR="002F4B30">
        <w:t>St</w:t>
      </w:r>
      <w:r w:rsidR="00715A27">
        <w:t>ate legislatures and agencies have close relationships with state regulated utilities</w:t>
      </w:r>
      <w:r w:rsidR="00E314B8">
        <w:t xml:space="preserve"> and local jurisdictions</w:t>
      </w:r>
      <w:r w:rsidR="00715A27">
        <w:t>.</w:t>
      </w:r>
      <w:r w:rsidR="00E314B8">
        <w:t xml:space="preserve">  </w:t>
      </w:r>
      <w:r w:rsidR="002F4B30">
        <w:t xml:space="preserve">So, </w:t>
      </w:r>
      <w:hyperlink r:id="rId12" w:history="1">
        <w:r w:rsidR="002F4B30">
          <w:rPr>
            <w:rStyle w:val="Hyperlink"/>
          </w:rPr>
          <w:t>s</w:t>
        </w:r>
        <w:r w:rsidR="00E314B8" w:rsidRPr="00EA4C88">
          <w:rPr>
            <w:rStyle w:val="Hyperlink"/>
          </w:rPr>
          <w:t>tat</w:t>
        </w:r>
        <w:r w:rsidR="00E314B8" w:rsidRPr="00EA4C88">
          <w:rPr>
            <w:rStyle w:val="Hyperlink"/>
          </w:rPr>
          <w:t>e policy</w:t>
        </w:r>
      </w:hyperlink>
      <w:r w:rsidR="00E314B8">
        <w:t xml:space="preserve"> may be the key.  States have the necessary relationships and authorities</w:t>
      </w:r>
      <w:r w:rsidR="002F1789">
        <w:t xml:space="preserve"> </w:t>
      </w:r>
      <w:r w:rsidR="00E314B8">
        <w:t xml:space="preserve">to set expectations and conditions for </w:t>
      </w:r>
      <w:r w:rsidR="002F4B30">
        <w:t xml:space="preserve">city/utility </w:t>
      </w:r>
      <w:r w:rsidR="00E314B8">
        <w:t>collaboration.</w:t>
      </w:r>
      <w:r w:rsidR="00715A27">
        <w:t xml:space="preserve"> </w:t>
      </w:r>
    </w:p>
    <w:p w14:paraId="04DB5FDE" w14:textId="690A7C08" w:rsidR="002F4B30" w:rsidRDefault="00895DA2">
      <w:r>
        <w:rPr>
          <w:noProof/>
        </w:rPr>
        <w:drawing>
          <wp:anchor distT="0" distB="0" distL="114300" distR="114300" simplePos="0" relativeHeight="251660288" behindDoc="0" locked="0" layoutInCell="1" allowOverlap="1" wp14:anchorId="77BF73B2" wp14:editId="1477A08C">
            <wp:simplePos x="0" y="0"/>
            <wp:positionH relativeFrom="margin">
              <wp:align>right</wp:align>
            </wp:positionH>
            <wp:positionV relativeFrom="margin">
              <wp:posOffset>3435985</wp:posOffset>
            </wp:positionV>
            <wp:extent cx="2344420" cy="2275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4420" cy="2275840"/>
                    </a:xfrm>
                    <a:prstGeom prst="rect">
                      <a:avLst/>
                    </a:prstGeom>
                    <a:noFill/>
                  </pic:spPr>
                </pic:pic>
              </a:graphicData>
            </a:graphic>
            <wp14:sizeRelH relativeFrom="margin">
              <wp14:pctWidth>0</wp14:pctWidth>
            </wp14:sizeRelH>
            <wp14:sizeRelV relativeFrom="margin">
              <wp14:pctHeight>0</wp14:pctHeight>
            </wp14:sizeRelV>
          </wp:anchor>
        </w:drawing>
      </w:r>
      <w:r w:rsidR="002B12FE">
        <w:rPr>
          <w:b/>
          <w:u w:val="single"/>
        </w:rPr>
        <w:t>Huge Dividends?</w:t>
      </w:r>
      <w:r w:rsidR="0034592C">
        <w:t xml:space="preserve"> Local</w:t>
      </w:r>
      <w:r w:rsidR="004470B1">
        <w:t xml:space="preserve"> energy a</w:t>
      </w:r>
      <w:r w:rsidR="00034277">
        <w:t xml:space="preserve">ssets include on-site solar arrays, </w:t>
      </w:r>
      <w:r w:rsidR="002F1789">
        <w:t>smart</w:t>
      </w:r>
      <w:r w:rsidR="00891BA5">
        <w:t xml:space="preserve"> and/or efficient </w:t>
      </w:r>
      <w:r w:rsidR="002F1789">
        <w:t xml:space="preserve">appliances, </w:t>
      </w:r>
      <w:r w:rsidR="002F4B30">
        <w:t xml:space="preserve">and under-utilized </w:t>
      </w:r>
      <w:r w:rsidR="002F1789">
        <w:t>energy storage</w:t>
      </w:r>
      <w:r w:rsidR="002F4B30">
        <w:t xml:space="preserve"> capacity</w:t>
      </w:r>
      <w:r w:rsidR="002F1789">
        <w:t xml:space="preserve">.  </w:t>
      </w:r>
      <w:r w:rsidR="002F4B30">
        <w:t>Increasingly, t</w:t>
      </w:r>
      <w:r w:rsidR="002F1789">
        <w:t xml:space="preserve">heir benefits to cost-efficient local grid investment </w:t>
      </w:r>
      <w:r w:rsidR="005B147D">
        <w:t>will be</w:t>
      </w:r>
      <w:r w:rsidR="002F1789">
        <w:t xml:space="preserve"> enabled by</w:t>
      </w:r>
      <w:r w:rsidR="004470B1">
        <w:t xml:space="preserve"> </w:t>
      </w:r>
      <w:r w:rsidR="00C14AFE">
        <w:t>“time of use” electricity prices</w:t>
      </w:r>
      <w:r w:rsidR="004470B1">
        <w:t>.</w:t>
      </w:r>
      <w:r w:rsidR="00C14AFE">
        <w:t xml:space="preserve"> </w:t>
      </w:r>
      <w:r w:rsidR="004470B1">
        <w:t xml:space="preserve"> </w:t>
      </w:r>
    </w:p>
    <w:p w14:paraId="57388D24" w14:textId="4542A6FC" w:rsidR="00034277" w:rsidRDefault="004470B1">
      <w:r>
        <w:t>In</w:t>
      </w:r>
      <w:r w:rsidR="00485AAC">
        <w:t xml:space="preserve"> Davis, California</w:t>
      </w:r>
      <w:r>
        <w:t xml:space="preserve">, for example, </w:t>
      </w:r>
      <w:r w:rsidR="002F1789">
        <w:t xml:space="preserve">deployment of such assets is in high gear.  </w:t>
      </w:r>
      <w:r w:rsidR="00F41218">
        <w:t xml:space="preserve">Cities </w:t>
      </w:r>
      <w:r w:rsidR="002F4B30">
        <w:t xml:space="preserve">like Davis </w:t>
      </w:r>
      <w:r w:rsidR="00F41218">
        <w:t xml:space="preserve">have a </w:t>
      </w:r>
      <w:hyperlink r:id="rId14" w:history="1">
        <w:r w:rsidR="00F41218" w:rsidRPr="00485AAC">
          <w:rPr>
            <w:rStyle w:val="Hyperlink"/>
          </w:rPr>
          <w:t>big economic stake</w:t>
        </w:r>
      </w:hyperlink>
      <w:r w:rsidR="00F41218" w:rsidRPr="00F41218">
        <w:t xml:space="preserve"> in “localizing” energy supply and storage</w:t>
      </w:r>
      <w:r w:rsidR="00F41218">
        <w:t xml:space="preserve">.  </w:t>
      </w:r>
      <w:r w:rsidR="003A23D9">
        <w:t xml:space="preserve">A third of Davis’s have “gone solar” already.  </w:t>
      </w:r>
      <w:r w:rsidR="002F1789">
        <w:t>T</w:t>
      </w:r>
      <w:r>
        <w:t xml:space="preserve">he value of </w:t>
      </w:r>
      <w:r w:rsidR="00F41218">
        <w:t xml:space="preserve">solar and storage battery </w:t>
      </w:r>
      <w:r>
        <w:t xml:space="preserve">assets already deployed </w:t>
      </w:r>
      <w:r w:rsidR="00A30F72">
        <w:t xml:space="preserve">in Davis </w:t>
      </w:r>
      <w:r>
        <w:t>exceeds $</w:t>
      </w:r>
      <w:r w:rsidR="00F41218">
        <w:t>250</w:t>
      </w:r>
      <w:r>
        <w:t xml:space="preserve"> million</w:t>
      </w:r>
      <w:r w:rsidR="006831E6">
        <w:t>,</w:t>
      </w:r>
      <w:r>
        <w:t xml:space="preserve"> with existing benefits to the local economy exceeding $10 million per year</w:t>
      </w:r>
      <w:r w:rsidR="00FE39BF">
        <w:t xml:space="preserve">, </w:t>
      </w:r>
      <w:r w:rsidR="002F4B30">
        <w:t xml:space="preserve">an </w:t>
      </w:r>
      <w:r w:rsidR="00FE39BF">
        <w:t xml:space="preserve">economic impact </w:t>
      </w:r>
      <w:r w:rsidR="002F4B30">
        <w:t xml:space="preserve">equivalent to </w:t>
      </w:r>
      <w:r w:rsidR="00FE39BF">
        <w:t xml:space="preserve">a </w:t>
      </w:r>
      <w:r w:rsidR="00A30F72">
        <w:t xml:space="preserve">double-digit </w:t>
      </w:r>
      <w:r w:rsidR="00036525">
        <w:t xml:space="preserve">permanent </w:t>
      </w:r>
      <w:r w:rsidR="00FE39BF">
        <w:t xml:space="preserve">reduction </w:t>
      </w:r>
      <w:r w:rsidR="00A30F72">
        <w:t xml:space="preserve">in the retail price of </w:t>
      </w:r>
      <w:r w:rsidR="002C6F82">
        <w:t>grid</w:t>
      </w:r>
      <w:r w:rsidR="00A30F72">
        <w:t xml:space="preserve"> electricity</w:t>
      </w:r>
      <w:r>
        <w:t>.</w:t>
      </w:r>
      <w:r w:rsidR="004500F4">
        <w:t xml:space="preserve">  </w:t>
      </w:r>
      <w:r>
        <w:t xml:space="preserve">For </w:t>
      </w:r>
      <w:r w:rsidR="00A30F72">
        <w:t xml:space="preserve">more on Davis’s local energy and sustainability pathways, </w:t>
      </w:r>
      <w:r>
        <w:t xml:space="preserve">click </w:t>
      </w:r>
      <w:hyperlink r:id="rId15" w:history="1">
        <w:r w:rsidRPr="00A30F72">
          <w:rPr>
            <w:rStyle w:val="Hyperlink"/>
          </w:rPr>
          <w:t>h</w:t>
        </w:r>
        <w:r w:rsidRPr="00A30F72">
          <w:rPr>
            <w:rStyle w:val="Hyperlink"/>
          </w:rPr>
          <w:t>ere</w:t>
        </w:r>
      </w:hyperlink>
      <w:r>
        <w:t>.</w:t>
      </w:r>
      <w:r w:rsidR="004915A5">
        <w:t xml:space="preserve">  </w:t>
      </w:r>
    </w:p>
    <w:p w14:paraId="7EADDE70" w14:textId="7CAFAED7" w:rsidR="009E6FDF" w:rsidRDefault="00034277">
      <w:pPr>
        <w:rPr>
          <w:b/>
          <w:u w:val="single"/>
        </w:rPr>
      </w:pPr>
      <w:r w:rsidRPr="00636D5A">
        <w:rPr>
          <w:b/>
          <w:u w:val="single"/>
        </w:rPr>
        <w:t>What Works?</w:t>
      </w:r>
      <w:r>
        <w:t xml:space="preserve">  </w:t>
      </w:r>
      <w:r w:rsidR="00715A27">
        <w:t>Locally</w:t>
      </w:r>
      <w:r>
        <w:t xml:space="preserve"> </w:t>
      </w:r>
      <w:r w:rsidR="00715A27">
        <w:t>regulated utility services</w:t>
      </w:r>
      <w:r w:rsidR="007C5B99">
        <w:t xml:space="preserve"> (e.g. water supply and waste collection)</w:t>
      </w:r>
      <w:r w:rsidR="00715A27">
        <w:t xml:space="preserve"> are influenced by state policy. </w:t>
      </w:r>
      <w:r w:rsidR="002F1789">
        <w:t xml:space="preserve"> </w:t>
      </w:r>
      <w:r w:rsidR="007C5B99">
        <w:t xml:space="preserve">Some energy utilities (electricity and natural gas) are regulated locally.  </w:t>
      </w:r>
      <w:r w:rsidR="002F4B30">
        <w:t>S</w:t>
      </w:r>
      <w:r w:rsidR="00715A27">
        <w:t xml:space="preserve">tate regulated </w:t>
      </w:r>
      <w:r w:rsidR="007C5B99">
        <w:t xml:space="preserve">energy </w:t>
      </w:r>
      <w:r w:rsidR="00715A27">
        <w:t xml:space="preserve">utilities </w:t>
      </w:r>
      <w:r>
        <w:t xml:space="preserve">are franchised by </w:t>
      </w:r>
      <w:r w:rsidR="00715A27">
        <w:t xml:space="preserve">local jurisdictions in which they </w:t>
      </w:r>
      <w:r>
        <w:t xml:space="preserve">operate </w:t>
      </w:r>
      <w:r w:rsidR="002F4B30">
        <w:t xml:space="preserve">but, in most cases, </w:t>
      </w:r>
      <w:r w:rsidR="007C5B99">
        <w:t>have no</w:t>
      </w:r>
      <w:r w:rsidR="00715A27">
        <w:t xml:space="preserve"> </w:t>
      </w:r>
      <w:r w:rsidR="007C5B99">
        <w:t>economic incentive</w:t>
      </w:r>
      <w:r w:rsidR="00715A27">
        <w:t xml:space="preserve"> or requirement to collaborate.  </w:t>
      </w:r>
      <w:r w:rsidR="000558F0">
        <w:t xml:space="preserve">The </w:t>
      </w:r>
      <w:r w:rsidR="007C5B99" w:rsidRPr="007C5B99">
        <w:t>IRESN Cit</w:t>
      </w:r>
      <w:r w:rsidR="002F4B30">
        <w:t>y</w:t>
      </w:r>
      <w:r w:rsidR="00036525">
        <w:t>/</w:t>
      </w:r>
      <w:r w:rsidR="007C5B99" w:rsidRPr="007C5B99">
        <w:t>Utility P</w:t>
      </w:r>
      <w:r w:rsidR="000558F0" w:rsidRPr="007C5B99">
        <w:t>roject</w:t>
      </w:r>
      <w:r w:rsidR="000558F0">
        <w:t xml:space="preserve"> uses </w:t>
      </w:r>
      <w:r w:rsidR="007C5B99">
        <w:t xml:space="preserve">a general purpose </w:t>
      </w:r>
      <w:r w:rsidR="00A211D1">
        <w:lastRenderedPageBreak/>
        <w:t xml:space="preserve">strategic planning framework that focuses on situation analysis and strategic response </w:t>
      </w:r>
      <w:r w:rsidR="000558F0">
        <w:t xml:space="preserve">to identify state policies </w:t>
      </w:r>
      <w:r>
        <w:t xml:space="preserve">and proven strategies </w:t>
      </w:r>
      <w:r w:rsidR="000558F0">
        <w:t xml:space="preserve">effective in driving city/utility collaboration. </w:t>
      </w:r>
    </w:p>
    <w:p w14:paraId="48B21E53" w14:textId="0A4D068F" w:rsidR="000558F0" w:rsidRDefault="004915A5">
      <w:r w:rsidRPr="009E6FDF">
        <w:rPr>
          <w:b/>
          <w:u w:val="single"/>
        </w:rPr>
        <w:t>Global Trends.</w:t>
      </w:r>
      <w:r w:rsidR="007C2A55">
        <w:t xml:space="preserve">  The </w:t>
      </w:r>
      <w:r w:rsidR="002F1789">
        <w:t xml:space="preserve">IRESN </w:t>
      </w:r>
      <w:r w:rsidR="009E6FDF">
        <w:t>C</w:t>
      </w:r>
      <w:r w:rsidR="007C2A55">
        <w:t>ity/</w:t>
      </w:r>
      <w:r w:rsidR="002F1789">
        <w:t>U</w:t>
      </w:r>
      <w:r w:rsidR="007C2A55">
        <w:t xml:space="preserve">tility </w:t>
      </w:r>
      <w:r w:rsidR="009E6FDF">
        <w:t>A</w:t>
      </w:r>
      <w:r w:rsidR="007C2A55">
        <w:t xml:space="preserve">dvisory </w:t>
      </w:r>
      <w:r w:rsidR="009E6FDF">
        <w:t>C</w:t>
      </w:r>
      <w:r w:rsidR="007C2A55">
        <w:t>ommittee</w:t>
      </w:r>
      <w:r w:rsidR="002F1789">
        <w:t xml:space="preserve"> recently</w:t>
      </w:r>
      <w:r w:rsidR="007C2A55">
        <w:t xml:space="preserve"> received a </w:t>
      </w:r>
      <w:r w:rsidR="007C2A55" w:rsidRPr="002F1789">
        <w:t>briefing</w:t>
      </w:r>
      <w:r w:rsidR="007C2A55">
        <w:t xml:space="preserve"> on </w:t>
      </w:r>
      <w:hyperlink r:id="rId16" w:history="1">
        <w:r w:rsidR="007C2A55" w:rsidRPr="004500F4">
          <w:rPr>
            <w:rStyle w:val="Hyperlink"/>
          </w:rPr>
          <w:t>global technology and market trends</w:t>
        </w:r>
      </w:hyperlink>
      <w:r w:rsidR="007C2A55">
        <w:t xml:space="preserve">.  </w:t>
      </w:r>
      <w:r w:rsidR="004B065A">
        <w:t xml:space="preserve"> For related US trends, click </w:t>
      </w:r>
      <w:hyperlink r:id="rId17" w:history="1">
        <w:r w:rsidR="004B065A" w:rsidRPr="002C6F82">
          <w:rPr>
            <w:rStyle w:val="Hyperlink"/>
          </w:rPr>
          <w:t>here</w:t>
        </w:r>
      </w:hyperlink>
      <w:r w:rsidR="004B065A">
        <w:t xml:space="preserve">.  </w:t>
      </w:r>
      <w:r w:rsidR="007C2A55">
        <w:t xml:space="preserve">National and state policies can </w:t>
      </w:r>
      <w:r w:rsidR="004B065A">
        <w:t xml:space="preserve">either </w:t>
      </w:r>
      <w:r w:rsidR="007C2A55">
        <w:t xml:space="preserve">impede or </w:t>
      </w:r>
      <w:r w:rsidR="004B065A">
        <w:t>turbo-charge</w:t>
      </w:r>
      <w:r w:rsidR="007C2A55">
        <w:t xml:space="preserve"> local clean energy deployment</w:t>
      </w:r>
      <w:r w:rsidR="00292F73">
        <w:t xml:space="preserve">.  Either way, </w:t>
      </w:r>
      <w:r w:rsidR="007C2A55">
        <w:t>global trends are unstoppable</w:t>
      </w:r>
      <w:r w:rsidR="00036525">
        <w:t>.  They</w:t>
      </w:r>
      <w:r w:rsidR="007C2A55">
        <w:t xml:space="preserve"> </w:t>
      </w:r>
      <w:r w:rsidR="007C5B99">
        <w:t xml:space="preserve">increasingly </w:t>
      </w:r>
      <w:r w:rsidR="007C2A55">
        <w:t xml:space="preserve">need to be accounted for locally.  </w:t>
      </w:r>
      <w:r w:rsidR="009E6FDF">
        <w:t>C</w:t>
      </w:r>
      <w:r w:rsidR="007C2A55">
        <w:t xml:space="preserve">ity/utility collaboration </w:t>
      </w:r>
      <w:r w:rsidR="009E6FDF">
        <w:t>will be</w:t>
      </w:r>
      <w:r w:rsidR="007C2A55">
        <w:t xml:space="preserve"> the difference between </w:t>
      </w:r>
      <w:r w:rsidR="00A95B9D" w:rsidRPr="00A95B9D">
        <w:rPr>
          <w:rStyle w:val="Hyperlink"/>
          <w:b/>
          <w:noProof/>
        </w:rPr>
        <mc:AlternateContent>
          <mc:Choice Requires="wps">
            <w:drawing>
              <wp:anchor distT="45720" distB="45720" distL="114300" distR="114300" simplePos="0" relativeHeight="251659264" behindDoc="0" locked="0" layoutInCell="1" allowOverlap="1" wp14:anchorId="670E9399" wp14:editId="19514090">
                <wp:simplePos x="0" y="0"/>
                <wp:positionH relativeFrom="margin">
                  <wp:align>right</wp:align>
                </wp:positionH>
                <wp:positionV relativeFrom="paragraph">
                  <wp:posOffset>0</wp:posOffset>
                </wp:positionV>
                <wp:extent cx="2364105" cy="371475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714750"/>
                        </a:xfrm>
                        <a:prstGeom prst="rect">
                          <a:avLst/>
                        </a:prstGeom>
                        <a:solidFill>
                          <a:srgbClr val="FFFFFF"/>
                        </a:solidFill>
                        <a:ln w="9525">
                          <a:solidFill>
                            <a:srgbClr val="000000"/>
                          </a:solidFill>
                          <a:miter lim="800000"/>
                          <a:headEnd/>
                          <a:tailEnd/>
                        </a:ln>
                      </wps:spPr>
                      <wps:txbx>
                        <w:txbxContent>
                          <w:p w14:paraId="5DBC0494" w14:textId="77777777" w:rsidR="00A95B9D" w:rsidRPr="00A928AA" w:rsidRDefault="00A95B9D" w:rsidP="00A928AA">
                            <w:pPr>
                              <w:spacing w:after="0" w:line="240" w:lineRule="auto"/>
                              <w:rPr>
                                <w:b/>
                              </w:rPr>
                            </w:pPr>
                            <w:r w:rsidRPr="00A928AA">
                              <w:rPr>
                                <w:b/>
                              </w:rPr>
                              <w:t>Finance - the #1 city/utility collaboration issue?</w:t>
                            </w:r>
                          </w:p>
                          <w:p w14:paraId="11089B61" w14:textId="77777777" w:rsidR="00A95B9D" w:rsidRDefault="00A95B9D" w:rsidP="00A928AA">
                            <w:pPr>
                              <w:spacing w:after="0" w:line="240" w:lineRule="auto"/>
                            </w:pPr>
                            <w:r>
                              <w:t xml:space="preserve">Which components of smart cities are most likely to improve citizen well-being, reduce energy consumption and increase economic growth?  European corporate and government leaders were asked to focus on four, i.e. intelligent transport systems, building efficiency and control systems, smart grids (including smart meters) and energy storage. Survey respondents identified lack of funding as the number-one obstacle to the roll-out of intelligent transport systems, the second most important obstacle to the implementation of energy storage and the third most important obstacle to the wider use </w:t>
                            </w:r>
                          </w:p>
                          <w:p w14:paraId="123D8426" w14:textId="77777777" w:rsidR="00A95B9D" w:rsidRDefault="00A95B9D" w:rsidP="00A928AA">
                            <w:pPr>
                              <w:spacing w:after="0" w:line="240" w:lineRule="auto"/>
                            </w:pPr>
                            <w:r>
                              <w:t xml:space="preserve">of building control systems.  To read more, click </w:t>
                            </w:r>
                            <w:hyperlink r:id="rId18" w:history="1">
                              <w:r w:rsidRPr="00A928AA">
                                <w:rPr>
                                  <w:rStyle w:val="Hyperlink"/>
                                </w:rPr>
                                <w:t>here</w:t>
                              </w:r>
                            </w:hyperlink>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9399" id="_x0000_s1027" type="#_x0000_t202" style="position:absolute;margin-left:134.95pt;margin-top:0;width:186.15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">
                <v:textbox>
                  <w:txbxContent>
                    <w:p w14:paraId="5DBC0494" w14:textId="77777777" w:rsidR="00A95B9D" w:rsidRPr="00A928AA" w:rsidRDefault="00A95B9D" w:rsidP="00A928AA">
                      <w:pPr>
                        <w:spacing w:after="0" w:line="240" w:lineRule="auto"/>
                        <w:rPr>
                          <w:b/>
                        </w:rPr>
                      </w:pPr>
                      <w:r w:rsidRPr="00A928AA">
                        <w:rPr>
                          <w:b/>
                        </w:rPr>
                        <w:t>Finance - the #1 city/utility collaboration issue?</w:t>
                      </w:r>
                    </w:p>
                    <w:p w14:paraId="11089B61" w14:textId="77777777" w:rsidR="00A95B9D" w:rsidRDefault="00A95B9D" w:rsidP="00A928AA">
                      <w:pPr>
                        <w:spacing w:after="0" w:line="240" w:lineRule="auto"/>
                      </w:pPr>
                      <w:r>
                        <w:t xml:space="preserve">Which components of smart cities are most likely to improve citizen well-being, reduce energy consumption and increase economic growth?  European corporate and government leaders were asked to focus on four, i.e. intelligent transport systems, building efficiency and control systems, smart grids (including smart meters) and energy storage. Survey respondents identified lack of funding as the number-one obstacle to the roll-out of intelligent transport systems, the second most important obstacle to the implementation of energy storage and the third most important obstacle to the wider use </w:t>
                      </w:r>
                    </w:p>
                    <w:p w14:paraId="123D8426" w14:textId="77777777" w:rsidR="00A95B9D" w:rsidRDefault="00A95B9D" w:rsidP="00A928AA">
                      <w:pPr>
                        <w:spacing w:after="0" w:line="240" w:lineRule="auto"/>
                      </w:pPr>
                      <w:r>
                        <w:t xml:space="preserve">of building control systems.  To read more, click </w:t>
                      </w:r>
                      <w:hyperlink r:id="rId19" w:history="1">
                        <w:r w:rsidRPr="00A928AA">
                          <w:rPr>
                            <w:rStyle w:val="Hyperlink"/>
                          </w:rPr>
                          <w:t>here</w:t>
                        </w:r>
                      </w:hyperlink>
                      <w:r>
                        <w:t>.</w:t>
                      </w:r>
                    </w:p>
                  </w:txbxContent>
                </v:textbox>
                <w10:wrap type="square" anchorx="margin"/>
              </v:shape>
            </w:pict>
          </mc:Fallback>
        </mc:AlternateContent>
      </w:r>
      <w:r w:rsidR="007C2A55">
        <w:t>integrative local infrastructure planning</w:t>
      </w:r>
      <w:r w:rsidR="00036525">
        <w:t>/</w:t>
      </w:r>
      <w:r w:rsidR="007C2A55">
        <w:t xml:space="preserve">investment and </w:t>
      </w:r>
      <w:r w:rsidR="004B065A">
        <w:t>economically sub-optimal results on both sides</w:t>
      </w:r>
      <w:r w:rsidR="007C2A55">
        <w:t xml:space="preserve">.  </w:t>
      </w:r>
    </w:p>
    <w:p w14:paraId="62CB4C7D" w14:textId="775E2BE2" w:rsidR="006001A4" w:rsidRDefault="006001A4">
      <w:r w:rsidRPr="009210B8">
        <w:rPr>
          <w:b/>
          <w:u w:val="single"/>
        </w:rPr>
        <w:t>City Strategies.</w:t>
      </w:r>
      <w:r>
        <w:t xml:space="preserve">  The advisory committee</w:t>
      </w:r>
      <w:r w:rsidR="00292F73">
        <w:t xml:space="preserve"> was also briefed on </w:t>
      </w:r>
      <w:hyperlink r:id="rId20" w:history="1">
        <w:r w:rsidR="00EF621B" w:rsidRPr="00EA4C88">
          <w:rPr>
            <w:rStyle w:val="Hyperlink"/>
          </w:rPr>
          <w:t>relevant</w:t>
        </w:r>
        <w:r w:rsidRPr="00EA4C88">
          <w:rPr>
            <w:rStyle w:val="Hyperlink"/>
          </w:rPr>
          <w:t xml:space="preserve"> </w:t>
        </w:r>
        <w:r w:rsidR="00EF621B" w:rsidRPr="00EA4C88">
          <w:rPr>
            <w:rStyle w:val="Hyperlink"/>
          </w:rPr>
          <w:t>goals and policies</w:t>
        </w:r>
        <w:r w:rsidRPr="00EA4C88">
          <w:rPr>
            <w:rStyle w:val="Hyperlink"/>
          </w:rPr>
          <w:t xml:space="preserve"> outside the US</w:t>
        </w:r>
      </w:hyperlink>
      <w:r>
        <w:t xml:space="preserve">.  </w:t>
      </w:r>
      <w:r w:rsidR="00BC4C94">
        <w:t>In Europe</w:t>
      </w:r>
      <w:r w:rsidR="004B065A">
        <w:t>, for example,</w:t>
      </w:r>
      <w:r w:rsidR="00BC4C94">
        <w:t xml:space="preserve"> t</w:t>
      </w:r>
      <w:r w:rsidR="00EF621B">
        <w:t xml:space="preserve">he </w:t>
      </w:r>
      <w:r w:rsidR="00EF621B" w:rsidRPr="002A25ED">
        <w:t xml:space="preserve">EU and OECD </w:t>
      </w:r>
      <w:r w:rsidR="00BC4C94" w:rsidRPr="002A25ED">
        <w:t>have been</w:t>
      </w:r>
      <w:r w:rsidR="00EF621B" w:rsidRPr="002A25ED">
        <w:t xml:space="preserve"> facilitating dissemination of</w:t>
      </w:r>
      <w:r w:rsidR="00036525">
        <w:t xml:space="preserve"> </w:t>
      </w:r>
      <w:hyperlink r:id="rId21" w:history="1">
        <w:r w:rsidR="00036525" w:rsidRPr="00036525">
          <w:rPr>
            <w:rStyle w:val="Hyperlink"/>
          </w:rPr>
          <w:t>smart city decarbonization best practices</w:t>
        </w:r>
      </w:hyperlink>
      <w:r w:rsidR="00EF621B">
        <w:t>.</w:t>
      </w:r>
      <w:r w:rsidR="00292F73">
        <w:t xml:space="preserve"> In addition, </w:t>
      </w:r>
      <w:hyperlink r:id="rId22" w:history="1">
        <w:r w:rsidR="00292F73">
          <w:rPr>
            <w:rStyle w:val="Hyperlink"/>
          </w:rPr>
          <w:t>l</w:t>
        </w:r>
        <w:r w:rsidR="00E03AE6" w:rsidRPr="00E03AE6">
          <w:rPr>
            <w:rStyle w:val="Hyperlink"/>
          </w:rPr>
          <w:t xml:space="preserve">eading </w:t>
        </w:r>
        <w:r w:rsidRPr="00E03AE6">
          <w:rPr>
            <w:rStyle w:val="Hyperlink"/>
          </w:rPr>
          <w:t>European cities</w:t>
        </w:r>
      </w:hyperlink>
      <w:r>
        <w:t xml:space="preserve"> have long term goals and strategies relating to energy self-sufficiency, </w:t>
      </w:r>
      <w:r w:rsidR="00292F73">
        <w:t xml:space="preserve">community and city level </w:t>
      </w:r>
      <w:r>
        <w:t>net zero energy, and long-term energy resilience.</w:t>
      </w:r>
      <w:r w:rsidR="00EF621B">
        <w:t xml:space="preserve">  </w:t>
      </w:r>
    </w:p>
    <w:p w14:paraId="5786C1E2" w14:textId="49016410" w:rsidR="00A53895" w:rsidRDefault="00EF621B">
      <w:r w:rsidRPr="00736B1A">
        <w:rPr>
          <w:b/>
          <w:u w:val="single"/>
        </w:rPr>
        <w:t xml:space="preserve">California </w:t>
      </w:r>
      <w:r w:rsidR="007A4AB8" w:rsidRPr="00736B1A">
        <w:rPr>
          <w:b/>
          <w:u w:val="single"/>
        </w:rPr>
        <w:t>Policy</w:t>
      </w:r>
      <w:r w:rsidRPr="00736B1A">
        <w:rPr>
          <w:b/>
          <w:u w:val="single"/>
        </w:rPr>
        <w:t>.</w:t>
      </w:r>
      <w:r>
        <w:t xml:space="preserve">  </w:t>
      </w:r>
      <w:r w:rsidR="00BE5285">
        <w:t>Recent s</w:t>
      </w:r>
      <w:r w:rsidR="00227669">
        <w:t xml:space="preserve">tate </w:t>
      </w:r>
      <w:r w:rsidR="002A0BCE">
        <w:t xml:space="preserve">energy </w:t>
      </w:r>
      <w:r w:rsidR="002A0BCE" w:rsidRPr="00C4736E">
        <w:t>policy</w:t>
      </w:r>
      <w:r w:rsidR="00BE5285" w:rsidRPr="00C4736E">
        <w:t xml:space="preserve"> announcements</w:t>
      </w:r>
      <w:r w:rsidR="00BE5285">
        <w:t xml:space="preserve"> and </w:t>
      </w:r>
      <w:r w:rsidR="00BE5285" w:rsidRPr="00C4736E">
        <w:t>proceedings</w:t>
      </w:r>
      <w:r w:rsidR="00BE5285">
        <w:t xml:space="preserve"> </w:t>
      </w:r>
      <w:r w:rsidR="00292F73">
        <w:t xml:space="preserve">in California </w:t>
      </w:r>
      <w:r w:rsidR="00BE5285">
        <w:t>have focused</w:t>
      </w:r>
      <w:r w:rsidR="005E6590">
        <w:t xml:space="preserve"> on</w:t>
      </w:r>
      <w:r w:rsidR="00BE5285">
        <w:t xml:space="preserve"> </w:t>
      </w:r>
      <w:hyperlink r:id="rId23" w:history="1">
        <w:r w:rsidR="002A25ED" w:rsidRPr="005E6590">
          <w:rPr>
            <w:rStyle w:val="Hyperlink"/>
          </w:rPr>
          <w:t xml:space="preserve">net zero electricity </w:t>
        </w:r>
        <w:r w:rsidR="00227669" w:rsidRPr="005E6590">
          <w:rPr>
            <w:rStyle w:val="Hyperlink"/>
          </w:rPr>
          <w:t>building standards</w:t>
        </w:r>
      </w:hyperlink>
      <w:r w:rsidR="00BE5285">
        <w:t xml:space="preserve"> and </w:t>
      </w:r>
      <w:hyperlink r:id="rId24" w:history="1">
        <w:r w:rsidR="00C4736E" w:rsidRPr="005E6590">
          <w:rPr>
            <w:rStyle w:val="Hyperlink"/>
          </w:rPr>
          <w:t>zero emission vehicle (ZEV) rate design</w:t>
        </w:r>
      </w:hyperlink>
      <w:r w:rsidR="00C4736E">
        <w:t xml:space="preserve">.  </w:t>
      </w:r>
      <w:r w:rsidR="0052793C">
        <w:t>Meeting state goals will require</w:t>
      </w:r>
      <w:r w:rsidR="00C4736E">
        <w:t xml:space="preserve"> state-wide economic integration of</w:t>
      </w:r>
      <w:r w:rsidR="002F5C8F">
        <w:t xml:space="preserve"> </w:t>
      </w:r>
      <w:r w:rsidR="002A0BCE">
        <w:t xml:space="preserve">on-site solar, storage, and </w:t>
      </w:r>
      <w:r w:rsidR="00227669">
        <w:t>ZEVs.</w:t>
      </w:r>
      <w:r w:rsidR="00292F73">
        <w:t xml:space="preserve">  Meanwhile,</w:t>
      </w:r>
      <w:r w:rsidR="00227669">
        <w:t xml:space="preserve">  </w:t>
      </w:r>
      <w:hyperlink r:id="rId25" w:history="1">
        <w:r w:rsidR="00BE5285" w:rsidRPr="005E6590">
          <w:rPr>
            <w:rStyle w:val="Hyperlink"/>
          </w:rPr>
          <w:t>“Customer Choice”</w:t>
        </w:r>
      </w:hyperlink>
      <w:r w:rsidR="00057495">
        <w:t xml:space="preserve">, </w:t>
      </w:r>
      <w:r w:rsidR="00BE5285">
        <w:t xml:space="preserve">is </w:t>
      </w:r>
      <w:r w:rsidR="002F5C8F">
        <w:t xml:space="preserve">a once and future </w:t>
      </w:r>
      <w:r w:rsidR="00057495">
        <w:t>option</w:t>
      </w:r>
      <w:r w:rsidR="002F5C8F">
        <w:t xml:space="preserve"> recognized</w:t>
      </w:r>
      <w:r w:rsidR="00057495">
        <w:t xml:space="preserve"> </w:t>
      </w:r>
      <w:r w:rsidR="002F5C8F">
        <w:t xml:space="preserve">by California’s utility regulators.  </w:t>
      </w:r>
    </w:p>
    <w:p w14:paraId="2E45BAC5" w14:textId="57756D4F" w:rsidR="00F754B1" w:rsidRDefault="002F5C8F">
      <w:r w:rsidRPr="00F754B1">
        <w:rPr>
          <w:b/>
          <w:u w:val="single"/>
        </w:rPr>
        <w:t>Community Choic</w:t>
      </w:r>
      <w:r w:rsidR="00F754B1" w:rsidRPr="00F754B1">
        <w:rPr>
          <w:b/>
          <w:u w:val="single"/>
        </w:rPr>
        <w:t>e.</w:t>
      </w:r>
      <w:r w:rsidR="00F754B1">
        <w:rPr>
          <w:b/>
        </w:rPr>
        <w:t xml:space="preserve">  </w:t>
      </w:r>
      <w:r w:rsidR="003A23D9">
        <w:t xml:space="preserve">In contrast to “customer choice” Community Choice builds on the foundation of experience cities have gained in managing local infrastructure and providing essential services.  </w:t>
      </w:r>
      <w:r w:rsidR="00A53895" w:rsidRPr="00F754B1">
        <w:t>H</w:t>
      </w:r>
      <w:r w:rsidR="00736B1A" w:rsidRPr="00F754B1">
        <w:t>aving</w:t>
      </w:r>
      <w:r w:rsidR="00736B1A">
        <w:t xml:space="preserve"> </w:t>
      </w:r>
      <w:r w:rsidR="00A53895">
        <w:t>passed</w:t>
      </w:r>
      <w:r w:rsidR="00736B1A">
        <w:t xml:space="preserve"> a tipping point in California, </w:t>
      </w:r>
      <w:r w:rsidR="00A53895">
        <w:t xml:space="preserve">Community Choice </w:t>
      </w:r>
      <w:r w:rsidR="0052793C">
        <w:t xml:space="preserve">must be accounted for in state-wide electricity forecasting and reliability assurance decisions.  </w:t>
      </w:r>
      <w:r w:rsidR="007A1063">
        <w:t>E</w:t>
      </w:r>
      <w:r w:rsidR="00BE5285">
        <w:t xml:space="preserve">volving </w:t>
      </w:r>
      <w:hyperlink r:id="rId26" w:history="1">
        <w:r w:rsidR="00BE5285" w:rsidRPr="00306397">
          <w:rPr>
            <w:rStyle w:val="Hyperlink"/>
          </w:rPr>
          <w:t>Community Choice</w:t>
        </w:r>
      </w:hyperlink>
      <w:r w:rsidR="00BE5285" w:rsidRPr="004500F4">
        <w:t xml:space="preserve"> business models</w:t>
      </w:r>
      <w:r w:rsidR="00BE5285">
        <w:t xml:space="preserve"> may result in </w:t>
      </w:r>
      <w:r w:rsidR="00A53895">
        <w:t xml:space="preserve">much needed </w:t>
      </w:r>
      <w:r w:rsidR="00A67881">
        <w:t xml:space="preserve">local </w:t>
      </w:r>
      <w:r w:rsidR="00BE5285">
        <w:t>capacity for local resource development and integration</w:t>
      </w:r>
      <w:r w:rsidR="00CD0885">
        <w:t xml:space="preserve">.  </w:t>
      </w:r>
      <w:hyperlink r:id="rId27" w:history="1">
        <w:r w:rsidR="00292F73" w:rsidRPr="000B71FF">
          <w:rPr>
            <w:rStyle w:val="Hyperlink"/>
          </w:rPr>
          <w:t>Partneri</w:t>
        </w:r>
        <w:r w:rsidR="00292F73" w:rsidRPr="000B71FF">
          <w:rPr>
            <w:rStyle w:val="Hyperlink"/>
          </w:rPr>
          <w:t>ng Opportunities for C</w:t>
        </w:r>
        <w:r w:rsidR="00CD0885" w:rsidRPr="000B71FF">
          <w:rPr>
            <w:rStyle w:val="Hyperlink"/>
          </w:rPr>
          <w:t xml:space="preserve">ommunity Choice providers and </w:t>
        </w:r>
        <w:r w:rsidR="00306397" w:rsidRPr="000B71FF">
          <w:rPr>
            <w:rStyle w:val="Hyperlink"/>
          </w:rPr>
          <w:t>their member jurisdictions</w:t>
        </w:r>
      </w:hyperlink>
      <w:bookmarkStart w:id="0" w:name="_GoBack"/>
      <w:bookmarkEnd w:id="0"/>
      <w:r w:rsidR="002C6F82">
        <w:t xml:space="preserve"> will </w:t>
      </w:r>
      <w:r w:rsidR="003A23D9">
        <w:t xml:space="preserve">continually </w:t>
      </w:r>
      <w:r w:rsidR="002C6F82">
        <w:t>expand</w:t>
      </w:r>
      <w:r w:rsidR="00306397">
        <w:t>, especially where cities and counties have adopted resilience and sustainability goals</w:t>
      </w:r>
      <w:r w:rsidR="002C6F82">
        <w:t>.</w:t>
      </w:r>
    </w:p>
    <w:p w14:paraId="1205D704" w14:textId="73F6B560" w:rsidR="00034277" w:rsidRDefault="00F754B1">
      <w:r w:rsidRPr="0034592C">
        <w:rPr>
          <w:b/>
          <w:u w:val="single"/>
        </w:rPr>
        <w:t>Who Will Lead?</w:t>
      </w:r>
      <w:r>
        <w:t xml:space="preserve"> </w:t>
      </w:r>
      <w:r w:rsidR="00403716">
        <w:t xml:space="preserve"> </w:t>
      </w:r>
      <w:r w:rsidR="00A53895">
        <w:t>California</w:t>
      </w:r>
      <w:r w:rsidR="001B2088">
        <w:t>’s</w:t>
      </w:r>
      <w:r w:rsidR="00A53895">
        <w:t xml:space="preserve"> </w:t>
      </w:r>
      <w:r w:rsidR="00227669">
        <w:t xml:space="preserve">Community Choice </w:t>
      </w:r>
      <w:r w:rsidR="00BE5285">
        <w:t>providers may emerge as</w:t>
      </w:r>
      <w:r w:rsidR="002A0BCE">
        <w:t xml:space="preserve"> </w:t>
      </w:r>
      <w:r w:rsidR="00BE5285">
        <w:t xml:space="preserve">welcome and important </w:t>
      </w:r>
      <w:r w:rsidR="002A0BCE">
        <w:t>facilitator</w:t>
      </w:r>
      <w:r w:rsidR="00BE5285">
        <w:t>s</w:t>
      </w:r>
      <w:r w:rsidR="002A0BCE">
        <w:t xml:space="preserve"> of </w:t>
      </w:r>
      <w:r w:rsidR="00306397">
        <w:t>collaboration between cities and grid owners</w:t>
      </w:r>
      <w:r w:rsidR="00BE5285">
        <w:t>.</w:t>
      </w:r>
      <w:r w:rsidR="00D059A3">
        <w:t xml:space="preserve">  </w:t>
      </w:r>
      <w:r w:rsidR="00A67881">
        <w:t xml:space="preserve">California enabled Community Choice formation in 2002 before the need for this </w:t>
      </w:r>
      <w:r w:rsidR="00306397">
        <w:t xml:space="preserve">facilitation </w:t>
      </w:r>
      <w:r w:rsidR="00A67881">
        <w:t xml:space="preserve">role was clearly demonstrated.  </w:t>
      </w:r>
      <w:r w:rsidR="003A23D9">
        <w:t xml:space="preserve">California legislation may need to be updated to recognize and empower it.  States now </w:t>
      </w:r>
      <w:r w:rsidR="00A67881">
        <w:t xml:space="preserve">considering </w:t>
      </w:r>
      <w:r w:rsidR="003A23D9">
        <w:t xml:space="preserve">enabling legislation for </w:t>
      </w:r>
      <w:r w:rsidR="00A67881">
        <w:t>Community Choice</w:t>
      </w:r>
      <w:r w:rsidR="002F4B30">
        <w:t xml:space="preserve"> </w:t>
      </w:r>
      <w:r w:rsidR="00A67881">
        <w:t xml:space="preserve">should take note.   </w:t>
      </w:r>
    </w:p>
    <w:p w14:paraId="0808CA9B" w14:textId="77777777" w:rsidR="00BE5285" w:rsidRDefault="00BE5285"/>
    <w:sectPr w:rsidR="00BE5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AFB2" w14:textId="77777777" w:rsidR="00522EDF" w:rsidRDefault="00522EDF" w:rsidP="006831E6">
      <w:pPr>
        <w:spacing w:after="0" w:line="240" w:lineRule="auto"/>
      </w:pPr>
      <w:r>
        <w:separator/>
      </w:r>
    </w:p>
  </w:endnote>
  <w:endnote w:type="continuationSeparator" w:id="0">
    <w:p w14:paraId="1F86D80C" w14:textId="77777777" w:rsidR="00522EDF" w:rsidRDefault="00522EDF" w:rsidP="0068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9F6D" w14:textId="77777777" w:rsidR="00522EDF" w:rsidRDefault="00522EDF" w:rsidP="006831E6">
      <w:pPr>
        <w:spacing w:after="0" w:line="240" w:lineRule="auto"/>
      </w:pPr>
      <w:r>
        <w:separator/>
      </w:r>
    </w:p>
  </w:footnote>
  <w:footnote w:type="continuationSeparator" w:id="0">
    <w:p w14:paraId="459D9F51" w14:textId="77777777" w:rsidR="00522EDF" w:rsidRDefault="00522EDF" w:rsidP="006831E6">
      <w:pPr>
        <w:spacing w:after="0" w:line="240" w:lineRule="auto"/>
      </w:pPr>
      <w:r>
        <w:continuationSeparator/>
      </w:r>
    </w:p>
  </w:footnote>
  <w:footnote w:id="1">
    <w:p w14:paraId="5CAB7850" w14:textId="40D40676" w:rsidR="0081413E" w:rsidRDefault="0081413E">
      <w:pPr>
        <w:pStyle w:val="FootnoteText"/>
      </w:pPr>
      <w:r>
        <w:rPr>
          <w:rStyle w:val="FootnoteReference"/>
        </w:rPr>
        <w:footnoteRef/>
      </w:r>
      <w:r>
        <w:t xml:space="preserve"> The terms </w:t>
      </w:r>
      <w:r w:rsidR="00F82ADE">
        <w:t>“</w:t>
      </w:r>
      <w:r>
        <w:t>city</w:t>
      </w:r>
      <w:r w:rsidR="00F82ADE">
        <w:t>”</w:t>
      </w:r>
      <w:r>
        <w:t xml:space="preserve"> and </w:t>
      </w:r>
      <w:r w:rsidR="00F82ADE">
        <w:t>“</w:t>
      </w:r>
      <w:r>
        <w:t>utility</w:t>
      </w:r>
      <w:r w:rsidR="00F82ADE">
        <w:t>”</w:t>
      </w:r>
      <w:r>
        <w:t xml:space="preserve"> </w:t>
      </w:r>
      <w:r w:rsidR="00796825">
        <w:t>refer to</w:t>
      </w:r>
      <w:r>
        <w:t xml:space="preserve"> two highly diverse groupings, i.e. local jurisdictions and </w:t>
      </w:r>
      <w:r w:rsidR="00A95B9D">
        <w:t>for-profit companies franchised by local jurisdictions to provide local energy services.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B5"/>
    <w:rsid w:val="000077C9"/>
    <w:rsid w:val="0001196C"/>
    <w:rsid w:val="00024C7D"/>
    <w:rsid w:val="0002721A"/>
    <w:rsid w:val="00034277"/>
    <w:rsid w:val="00036525"/>
    <w:rsid w:val="000558F0"/>
    <w:rsid w:val="00057495"/>
    <w:rsid w:val="00094D59"/>
    <w:rsid w:val="000B71FF"/>
    <w:rsid w:val="000E6001"/>
    <w:rsid w:val="001505FB"/>
    <w:rsid w:val="001B0C9F"/>
    <w:rsid w:val="001B2088"/>
    <w:rsid w:val="00204DE6"/>
    <w:rsid w:val="00227669"/>
    <w:rsid w:val="00292F73"/>
    <w:rsid w:val="002A0BCE"/>
    <w:rsid w:val="002A25ED"/>
    <w:rsid w:val="002B12FE"/>
    <w:rsid w:val="002C6F82"/>
    <w:rsid w:val="002F1789"/>
    <w:rsid w:val="002F4B30"/>
    <w:rsid w:val="002F5C8F"/>
    <w:rsid w:val="002F6046"/>
    <w:rsid w:val="002F65A1"/>
    <w:rsid w:val="00306397"/>
    <w:rsid w:val="0031176F"/>
    <w:rsid w:val="00340EFB"/>
    <w:rsid w:val="0034592C"/>
    <w:rsid w:val="003624FF"/>
    <w:rsid w:val="00393FB1"/>
    <w:rsid w:val="003A23D9"/>
    <w:rsid w:val="003A4755"/>
    <w:rsid w:val="003C5821"/>
    <w:rsid w:val="00403716"/>
    <w:rsid w:val="004470B1"/>
    <w:rsid w:val="004500F4"/>
    <w:rsid w:val="00485AAC"/>
    <w:rsid w:val="004915A5"/>
    <w:rsid w:val="004B065A"/>
    <w:rsid w:val="004B69EE"/>
    <w:rsid w:val="004F3862"/>
    <w:rsid w:val="00520947"/>
    <w:rsid w:val="00522EDF"/>
    <w:rsid w:val="0052793C"/>
    <w:rsid w:val="005B147D"/>
    <w:rsid w:val="005E13A7"/>
    <w:rsid w:val="005E6590"/>
    <w:rsid w:val="006001A4"/>
    <w:rsid w:val="00636D5A"/>
    <w:rsid w:val="006642AA"/>
    <w:rsid w:val="00673291"/>
    <w:rsid w:val="006831E6"/>
    <w:rsid w:val="00696518"/>
    <w:rsid w:val="006E4401"/>
    <w:rsid w:val="006E721F"/>
    <w:rsid w:val="00715A27"/>
    <w:rsid w:val="00724D1C"/>
    <w:rsid w:val="00736B1A"/>
    <w:rsid w:val="007475B0"/>
    <w:rsid w:val="00776270"/>
    <w:rsid w:val="0079601D"/>
    <w:rsid w:val="00796825"/>
    <w:rsid w:val="007A1063"/>
    <w:rsid w:val="007A4AB8"/>
    <w:rsid w:val="007C2A55"/>
    <w:rsid w:val="007C5B99"/>
    <w:rsid w:val="0081413E"/>
    <w:rsid w:val="00831670"/>
    <w:rsid w:val="00884AAA"/>
    <w:rsid w:val="00891BA5"/>
    <w:rsid w:val="00895DA2"/>
    <w:rsid w:val="008A6AE0"/>
    <w:rsid w:val="009210B8"/>
    <w:rsid w:val="00940090"/>
    <w:rsid w:val="0099044C"/>
    <w:rsid w:val="009E6FDF"/>
    <w:rsid w:val="00A211D1"/>
    <w:rsid w:val="00A30F72"/>
    <w:rsid w:val="00A53895"/>
    <w:rsid w:val="00A67881"/>
    <w:rsid w:val="00A928AA"/>
    <w:rsid w:val="00A95B9D"/>
    <w:rsid w:val="00AA5261"/>
    <w:rsid w:val="00AB04C5"/>
    <w:rsid w:val="00AC4BEE"/>
    <w:rsid w:val="00BC4C94"/>
    <w:rsid w:val="00BE5285"/>
    <w:rsid w:val="00C14AFE"/>
    <w:rsid w:val="00C271C7"/>
    <w:rsid w:val="00C4736E"/>
    <w:rsid w:val="00C90CB5"/>
    <w:rsid w:val="00CB6162"/>
    <w:rsid w:val="00CC1C93"/>
    <w:rsid w:val="00CD0885"/>
    <w:rsid w:val="00CF07BA"/>
    <w:rsid w:val="00D059A3"/>
    <w:rsid w:val="00E03AE6"/>
    <w:rsid w:val="00E31135"/>
    <w:rsid w:val="00E314B8"/>
    <w:rsid w:val="00E37239"/>
    <w:rsid w:val="00E47AD5"/>
    <w:rsid w:val="00EA4C88"/>
    <w:rsid w:val="00EB511A"/>
    <w:rsid w:val="00EF621B"/>
    <w:rsid w:val="00F41218"/>
    <w:rsid w:val="00F754B1"/>
    <w:rsid w:val="00F82ADE"/>
    <w:rsid w:val="00FC33AF"/>
    <w:rsid w:val="00FD023C"/>
    <w:rsid w:val="00FE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5437"/>
  <w15:chartTrackingRefBased/>
  <w15:docId w15:val="{BEC91CB7-D6D6-4823-AD4C-FF266B7B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518"/>
    <w:rPr>
      <w:color w:val="0000FF" w:themeColor="hyperlink"/>
      <w:u w:val="single"/>
    </w:rPr>
  </w:style>
  <w:style w:type="character" w:styleId="UnresolvedMention">
    <w:name w:val="Unresolved Mention"/>
    <w:basedOn w:val="DefaultParagraphFont"/>
    <w:uiPriority w:val="99"/>
    <w:semiHidden/>
    <w:unhideWhenUsed/>
    <w:rsid w:val="00696518"/>
    <w:rPr>
      <w:color w:val="605E5C"/>
      <w:shd w:val="clear" w:color="auto" w:fill="E1DFDD"/>
    </w:rPr>
  </w:style>
  <w:style w:type="character" w:styleId="FollowedHyperlink">
    <w:name w:val="FollowedHyperlink"/>
    <w:basedOn w:val="DefaultParagraphFont"/>
    <w:uiPriority w:val="99"/>
    <w:semiHidden/>
    <w:unhideWhenUsed/>
    <w:rsid w:val="00696518"/>
    <w:rPr>
      <w:color w:val="800080" w:themeColor="followedHyperlink"/>
      <w:u w:val="single"/>
    </w:rPr>
  </w:style>
  <w:style w:type="paragraph" w:styleId="FootnoteText">
    <w:name w:val="footnote text"/>
    <w:basedOn w:val="Normal"/>
    <w:link w:val="FootnoteTextChar"/>
    <w:uiPriority w:val="99"/>
    <w:semiHidden/>
    <w:unhideWhenUsed/>
    <w:rsid w:val="00683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1E6"/>
    <w:rPr>
      <w:sz w:val="20"/>
      <w:szCs w:val="20"/>
    </w:rPr>
  </w:style>
  <w:style w:type="character" w:styleId="FootnoteReference">
    <w:name w:val="footnote reference"/>
    <w:basedOn w:val="DefaultParagraphFont"/>
    <w:uiPriority w:val="99"/>
    <w:semiHidden/>
    <w:unhideWhenUsed/>
    <w:rsid w:val="006831E6"/>
    <w:rPr>
      <w:vertAlign w:val="superscript"/>
    </w:rPr>
  </w:style>
  <w:style w:type="paragraph" w:styleId="EndnoteText">
    <w:name w:val="endnote text"/>
    <w:basedOn w:val="Normal"/>
    <w:link w:val="EndnoteTextChar"/>
    <w:uiPriority w:val="99"/>
    <w:semiHidden/>
    <w:unhideWhenUsed/>
    <w:rsid w:val="00E314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4B8"/>
    <w:rPr>
      <w:sz w:val="20"/>
      <w:szCs w:val="20"/>
    </w:rPr>
  </w:style>
  <w:style w:type="character" w:styleId="EndnoteReference">
    <w:name w:val="endnote reference"/>
    <w:basedOn w:val="DefaultParagraphFont"/>
    <w:uiPriority w:val="99"/>
    <w:semiHidden/>
    <w:unhideWhenUsed/>
    <w:rsid w:val="00E314B8"/>
    <w:rPr>
      <w:vertAlign w:val="superscript"/>
    </w:rPr>
  </w:style>
  <w:style w:type="character" w:styleId="CommentReference">
    <w:name w:val="annotation reference"/>
    <w:basedOn w:val="DefaultParagraphFont"/>
    <w:uiPriority w:val="99"/>
    <w:semiHidden/>
    <w:unhideWhenUsed/>
    <w:rsid w:val="0081413E"/>
    <w:rPr>
      <w:sz w:val="16"/>
      <w:szCs w:val="16"/>
    </w:rPr>
  </w:style>
  <w:style w:type="paragraph" w:styleId="CommentText">
    <w:name w:val="annotation text"/>
    <w:basedOn w:val="Normal"/>
    <w:link w:val="CommentTextChar"/>
    <w:uiPriority w:val="99"/>
    <w:semiHidden/>
    <w:unhideWhenUsed/>
    <w:rsid w:val="0081413E"/>
    <w:pPr>
      <w:spacing w:line="240" w:lineRule="auto"/>
    </w:pPr>
    <w:rPr>
      <w:sz w:val="20"/>
      <w:szCs w:val="20"/>
    </w:rPr>
  </w:style>
  <w:style w:type="character" w:customStyle="1" w:styleId="CommentTextChar">
    <w:name w:val="Comment Text Char"/>
    <w:basedOn w:val="DefaultParagraphFont"/>
    <w:link w:val="CommentText"/>
    <w:uiPriority w:val="99"/>
    <w:semiHidden/>
    <w:rsid w:val="0081413E"/>
    <w:rPr>
      <w:sz w:val="20"/>
      <w:szCs w:val="20"/>
    </w:rPr>
  </w:style>
  <w:style w:type="paragraph" w:styleId="CommentSubject">
    <w:name w:val="annotation subject"/>
    <w:basedOn w:val="CommentText"/>
    <w:next w:val="CommentText"/>
    <w:link w:val="CommentSubjectChar"/>
    <w:uiPriority w:val="99"/>
    <w:semiHidden/>
    <w:unhideWhenUsed/>
    <w:rsid w:val="0081413E"/>
    <w:rPr>
      <w:b/>
      <w:bCs/>
    </w:rPr>
  </w:style>
  <w:style w:type="character" w:customStyle="1" w:styleId="CommentSubjectChar">
    <w:name w:val="Comment Subject Char"/>
    <w:basedOn w:val="CommentTextChar"/>
    <w:link w:val="CommentSubject"/>
    <w:uiPriority w:val="99"/>
    <w:semiHidden/>
    <w:rsid w:val="0081413E"/>
    <w:rPr>
      <w:b/>
      <w:bCs/>
      <w:sz w:val="20"/>
      <w:szCs w:val="20"/>
    </w:rPr>
  </w:style>
  <w:style w:type="paragraph" w:styleId="BalloonText">
    <w:name w:val="Balloon Text"/>
    <w:basedOn w:val="Normal"/>
    <w:link w:val="BalloonTextChar"/>
    <w:uiPriority w:val="99"/>
    <w:semiHidden/>
    <w:unhideWhenUsed/>
    <w:rsid w:val="0081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aun@iresn.org" TargetMode="External"/><Relationship Id="rId13" Type="http://schemas.openxmlformats.org/officeDocument/2006/relationships/image" Target="media/image2.png"/><Relationship Id="rId18" Type="http://schemas.openxmlformats.org/officeDocument/2006/relationships/hyperlink" Target="http://www.cleanenergypipeline.com/Resources/CE/ResearchReports/Smart%20cities%20in%20Europe.pdf" TargetMode="External"/><Relationship Id="rId26" Type="http://schemas.openxmlformats.org/officeDocument/2006/relationships/hyperlink" Target="https://sepapower.org/knowledge/how-new-york-california-planning-future-community-choice-aggregation/" TargetMode="External"/><Relationship Id="rId3" Type="http://schemas.openxmlformats.org/officeDocument/2006/relationships/settings" Target="settings.xml"/><Relationship Id="rId21" Type="http://schemas.openxmlformats.org/officeDocument/2006/relationships/hyperlink" Target="http://www.cleanenergypipeline.com/Resources/CE/ResearchReports/Smart%20cities%20in%20Europe.pdf" TargetMode="External"/><Relationship Id="rId7" Type="http://schemas.openxmlformats.org/officeDocument/2006/relationships/image" Target="media/image1.jpeg"/><Relationship Id="rId12" Type="http://schemas.openxmlformats.org/officeDocument/2006/relationships/hyperlink" Target="file:///C:\Users\Owner\Documents\IRESN\2018\Blog%20-%20Cities%20and%20Utilities%20-%20States%20Need%20Them%20to%20Collaborate.pdf" TargetMode="External"/><Relationship Id="rId17" Type="http://schemas.openxmlformats.org/officeDocument/2006/relationships/hyperlink" Target="http://www.eesi.org/files/Lisa_Jacobson_060818.pdf" TargetMode="External"/><Relationship Id="rId25" Type="http://schemas.openxmlformats.org/officeDocument/2006/relationships/hyperlink" Target="http://www.cpuc.ca.gov/customerchoice/" TargetMode="External"/><Relationship Id="rId2" Type="http://schemas.openxmlformats.org/officeDocument/2006/relationships/styles" Target="styles.xml"/><Relationship Id="rId16" Type="http://schemas.openxmlformats.org/officeDocument/2006/relationships/hyperlink" Target="https://joseph-braun-4dlb.squarespace.com/s/Global-Energy-Technology-and-Market-Trends.pdf" TargetMode="External"/><Relationship Id="rId20" Type="http://schemas.openxmlformats.org/officeDocument/2006/relationships/hyperlink" Target="https://joseph-braun-4dlb.squarespace.com/s/Relevant-Experience-Outside-the-US-dzj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resn.org/s/IRESN-City-Utility-Advisory-Committee-Members-attb.pdf" TargetMode="External"/><Relationship Id="rId24" Type="http://schemas.openxmlformats.org/officeDocument/2006/relationships/hyperlink" Target="http://www.cpuc.ca.gov/energy/electricrates/" TargetMode="External"/><Relationship Id="rId5" Type="http://schemas.openxmlformats.org/officeDocument/2006/relationships/footnotes" Target="footnotes.xml"/><Relationship Id="rId15" Type="http://schemas.openxmlformats.org/officeDocument/2006/relationships/hyperlink" Target="https://joseph-braun-4dlb.squarespace.com/s/Greening-of-an-American-City-052218.pdf" TargetMode="External"/><Relationship Id="rId23" Type="http://schemas.openxmlformats.org/officeDocument/2006/relationships/hyperlink" Target="https://www.sfgate.com/business/article/Solar-to-be-required-on-most-new-homes-in-12901403.php?t=e70a1450d1" TargetMode="External"/><Relationship Id="rId28" Type="http://schemas.openxmlformats.org/officeDocument/2006/relationships/fontTable" Target="fontTable.xml"/><Relationship Id="rId10" Type="http://schemas.openxmlformats.org/officeDocument/2006/relationships/hyperlink" Target="https://joseph-braun-4dlb.squarespace.com/s/IRESN-City-Utility-Project-Plan.docx" TargetMode="External"/><Relationship Id="rId19" Type="http://schemas.openxmlformats.org/officeDocument/2006/relationships/hyperlink" Target="http://www.cleanenergypipeline.com/Resources/CE/ResearchReports/Smart%20cities%20in%20Europe.pdf" TargetMode="External"/><Relationship Id="rId4" Type="http://schemas.openxmlformats.org/officeDocument/2006/relationships/webSettings" Target="webSettings.xml"/><Relationship Id="rId9" Type="http://schemas.openxmlformats.org/officeDocument/2006/relationships/hyperlink" Target="mailto:gbraun@iresn.org" TargetMode="External"/><Relationship Id="rId14" Type="http://schemas.openxmlformats.org/officeDocument/2006/relationships/hyperlink" Target="https://climateprotection.org/community-choice-energy-local-economic-impact/" TargetMode="External"/><Relationship Id="rId22" Type="http://schemas.openxmlformats.org/officeDocument/2006/relationships/hyperlink" Target="http://www.energy-cities.eu/Five-recommendations-for-100-renewable-cities-our-latest-report" TargetMode="External"/><Relationship Id="rId27" Type="http://schemas.openxmlformats.org/officeDocument/2006/relationships/hyperlink" Target="https://joseph-braun-4dlb.squarespace.com/s/Davis-and-VCEA-Partners-for-Sustainability-l7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DB42-F080-4A88-B577-77000FAD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braun</dc:creator>
  <cp:keywords/>
  <dc:description/>
  <cp:lastModifiedBy>gerry braun</cp:lastModifiedBy>
  <cp:revision>7</cp:revision>
  <dcterms:created xsi:type="dcterms:W3CDTF">2018-07-10T16:00:00Z</dcterms:created>
  <dcterms:modified xsi:type="dcterms:W3CDTF">2018-07-16T19:29:00Z</dcterms:modified>
</cp:coreProperties>
</file>